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E41D1" w14:textId="77777777" w:rsidR="00F87F8A" w:rsidRPr="00F87F8A" w:rsidRDefault="00F87F8A" w:rsidP="00F87F8A">
      <w:pPr>
        <w:shd w:val="clear" w:color="auto" w:fill="EEEEEE"/>
        <w:spacing w:before="450" w:after="150" w:line="240" w:lineRule="auto"/>
        <w:outlineLvl w:val="1"/>
        <w:rPr>
          <w:rFonts w:ascii="Titillium Web" w:eastAsia="Times New Roman" w:hAnsi="Titillium Web" w:cs="Arial"/>
          <w:color w:val="212529"/>
          <w:sz w:val="38"/>
          <w:szCs w:val="38"/>
        </w:rPr>
      </w:pPr>
      <w:r w:rsidRPr="00F87F8A">
        <w:rPr>
          <w:rFonts w:ascii="Titillium Web" w:eastAsia="Times New Roman" w:hAnsi="Titillium Web" w:cs="Arial"/>
          <w:color w:val="212529"/>
          <w:sz w:val="38"/>
          <w:szCs w:val="38"/>
        </w:rPr>
        <w:t>Tarifs applicables au 01/01/2023</w:t>
      </w:r>
    </w:p>
    <w:p w14:paraId="0DEFAA7F" w14:textId="77777777" w:rsidR="00F87F8A" w:rsidRPr="00F87F8A" w:rsidRDefault="00F87F8A" w:rsidP="00F87F8A">
      <w:pPr>
        <w:shd w:val="clear" w:color="auto" w:fill="EEEEEE"/>
        <w:spacing w:after="100" w:afterAutospacing="1" w:line="240" w:lineRule="auto"/>
        <w:jc w:val="both"/>
        <w:rPr>
          <w:rFonts w:ascii="Arial" w:eastAsia="Times New Roman" w:hAnsi="Arial" w:cs="Arial"/>
          <w:color w:val="212529"/>
          <w:sz w:val="23"/>
          <w:szCs w:val="23"/>
        </w:rPr>
      </w:pPr>
      <w:r w:rsidRPr="00F87F8A">
        <w:rPr>
          <w:rFonts w:ascii="Arial" w:eastAsia="Times New Roman" w:hAnsi="Arial" w:cs="Arial"/>
          <w:b/>
          <w:bCs/>
          <w:color w:val="F6B200"/>
          <w:sz w:val="23"/>
          <w:szCs w:val="23"/>
        </w:rPr>
        <w:t>TARIFS FIXES :</w:t>
      </w:r>
      <w:r w:rsidRPr="00F87F8A">
        <w:rPr>
          <w:rFonts w:ascii="Arial" w:eastAsia="Times New Roman" w:hAnsi="Arial" w:cs="Arial"/>
          <w:color w:val="212529"/>
          <w:sz w:val="23"/>
          <w:szCs w:val="23"/>
        </w:rPr>
        <w:t> </w:t>
      </w:r>
      <w:r w:rsidRPr="00F87F8A">
        <w:rPr>
          <w:rFonts w:ascii="Arial" w:eastAsia="Times New Roman" w:hAnsi="Arial" w:cs="Arial"/>
          <w:b/>
          <w:bCs/>
          <w:color w:val="212529"/>
          <w:sz w:val="23"/>
          <w:szCs w:val="23"/>
        </w:rPr>
        <w:t>La taxe de séjour est collectée sur la base d'un tarif fixe (€) :</w:t>
      </w:r>
    </w:p>
    <w:p w14:paraId="3E6C8D1F" w14:textId="77777777" w:rsidR="00F87F8A" w:rsidRPr="00F87F8A" w:rsidRDefault="00F87F8A" w:rsidP="00F87F8A">
      <w:pPr>
        <w:shd w:val="clear" w:color="auto" w:fill="EEEEEE"/>
        <w:spacing w:after="100" w:afterAutospacing="1" w:line="240" w:lineRule="auto"/>
        <w:jc w:val="both"/>
        <w:rPr>
          <w:rFonts w:ascii="Arial" w:eastAsia="Times New Roman" w:hAnsi="Arial" w:cs="Arial"/>
          <w:color w:val="212529"/>
          <w:sz w:val="23"/>
          <w:szCs w:val="23"/>
        </w:rPr>
      </w:pPr>
      <w:r w:rsidRPr="00F87F8A">
        <w:rPr>
          <w:rFonts w:ascii="Arial" w:eastAsia="Times New Roman" w:hAnsi="Arial" w:cs="Arial"/>
          <w:color w:val="212529"/>
          <w:sz w:val="23"/>
          <w:szCs w:val="23"/>
        </w:rPr>
        <w:t>Le montant de taxe de séjour à percevoir auprès des occupants de l'hébergement qui sont assujettis et non exonérés correspond au produit du nombre de nuitées effectuées par le tarif applicable à votre hébergement.</w:t>
      </w:r>
      <w:r w:rsidRPr="00F87F8A">
        <w:rPr>
          <w:rFonts w:ascii="Arial" w:eastAsia="Times New Roman" w:hAnsi="Arial" w:cs="Arial"/>
          <w:color w:val="212529"/>
          <w:sz w:val="23"/>
          <w:szCs w:val="23"/>
        </w:rPr>
        <w:br/>
        <w:t>Rappel : nombre de nuitées = nombre de nuits x nombre d'occupants</w:t>
      </w:r>
    </w:p>
    <w:p w14:paraId="656EC6EF" w14:textId="77777777" w:rsidR="00F87F8A" w:rsidRPr="00F87F8A" w:rsidRDefault="00F87F8A" w:rsidP="00F87F8A">
      <w:pPr>
        <w:numPr>
          <w:ilvl w:val="0"/>
          <w:numId w:val="1"/>
        </w:numPr>
        <w:shd w:val="clear" w:color="auto" w:fill="EEEEEE"/>
        <w:spacing w:before="100" w:beforeAutospacing="1" w:after="100" w:afterAutospacing="1" w:line="240" w:lineRule="auto"/>
        <w:ind w:left="495"/>
        <w:jc w:val="both"/>
        <w:rPr>
          <w:rFonts w:ascii="Arial" w:eastAsia="Times New Roman" w:hAnsi="Arial" w:cs="Arial"/>
          <w:color w:val="212529"/>
          <w:sz w:val="23"/>
          <w:szCs w:val="23"/>
        </w:rPr>
      </w:pPr>
      <w:r w:rsidRPr="00F87F8A">
        <w:rPr>
          <w:rFonts w:ascii="Arial" w:eastAsia="Times New Roman" w:hAnsi="Arial" w:cs="Arial"/>
          <w:color w:val="212529"/>
          <w:sz w:val="23"/>
          <w:szCs w:val="23"/>
        </w:rPr>
        <w:t>Pour les hôtels, meublés et résidences de tourisme, ainsi que les villages de vacances et les terrains de camping et de caravanage qui sont classés en étoiles (au sens d'Atout France).</w:t>
      </w:r>
    </w:p>
    <w:p w14:paraId="65D2B582" w14:textId="77777777" w:rsidR="00F87F8A" w:rsidRPr="00F87F8A" w:rsidRDefault="00F87F8A" w:rsidP="00F87F8A">
      <w:pPr>
        <w:numPr>
          <w:ilvl w:val="0"/>
          <w:numId w:val="1"/>
        </w:numPr>
        <w:shd w:val="clear" w:color="auto" w:fill="EEEEEE"/>
        <w:spacing w:before="100" w:beforeAutospacing="1" w:after="100" w:afterAutospacing="1" w:line="240" w:lineRule="auto"/>
        <w:ind w:left="495"/>
        <w:jc w:val="both"/>
        <w:rPr>
          <w:rFonts w:ascii="Arial" w:eastAsia="Times New Roman" w:hAnsi="Arial" w:cs="Arial"/>
          <w:color w:val="212529"/>
          <w:sz w:val="23"/>
          <w:szCs w:val="23"/>
        </w:rPr>
      </w:pPr>
      <w:r w:rsidRPr="00F87F8A">
        <w:rPr>
          <w:rFonts w:ascii="Arial" w:eastAsia="Times New Roman" w:hAnsi="Arial" w:cs="Arial"/>
          <w:color w:val="212529"/>
          <w:sz w:val="23"/>
          <w:szCs w:val="23"/>
        </w:rPr>
        <w:t>Pour les palaces, les chambres d'hôtes, les auberges collectives, les emplacements dans des aires de camping-cars et parcs de stationnement touristiques et les ports de plaisance.</w:t>
      </w:r>
    </w:p>
    <w:p w14:paraId="539F2C41" w14:textId="0FA0BC91" w:rsidR="00F87F8A" w:rsidRPr="00F87F8A" w:rsidRDefault="00F87F8A" w:rsidP="00F87F8A">
      <w:pPr>
        <w:numPr>
          <w:ilvl w:val="0"/>
          <w:numId w:val="1"/>
        </w:numPr>
        <w:shd w:val="clear" w:color="auto" w:fill="EEEEEE"/>
        <w:spacing w:before="100" w:beforeAutospacing="1" w:after="100" w:afterAutospacing="1" w:line="240" w:lineRule="auto"/>
        <w:ind w:left="495"/>
        <w:jc w:val="both"/>
        <w:rPr>
          <w:rFonts w:ascii="Arial" w:eastAsia="Times New Roman" w:hAnsi="Arial" w:cs="Arial"/>
          <w:color w:val="212529"/>
          <w:sz w:val="23"/>
          <w:szCs w:val="23"/>
        </w:rPr>
      </w:pPr>
      <w:r w:rsidRPr="00F87F8A">
        <w:rPr>
          <w:rFonts w:ascii="Arial" w:eastAsia="Times New Roman" w:hAnsi="Arial" w:cs="Arial"/>
          <w:color w:val="212529"/>
          <w:sz w:val="23"/>
          <w:szCs w:val="23"/>
        </w:rPr>
        <w:t>Pour les terrains de camping et de caravanage sans classement. </w:t>
      </w:r>
      <w:r w:rsidRPr="00F87F8A">
        <w:rPr>
          <w:rFonts w:ascii="Arial" w:eastAsia="Times New Roman" w:hAnsi="Arial" w:cs="Arial"/>
          <w:color w:val="212529"/>
          <w:sz w:val="23"/>
          <w:szCs w:val="23"/>
        </w:rPr>
        <w:fldChar w:fldCharType="begin"/>
      </w:r>
      <w:r w:rsidRPr="00F87F8A">
        <w:rPr>
          <w:rFonts w:ascii="Arial" w:eastAsia="Times New Roman" w:hAnsi="Arial" w:cs="Arial"/>
          <w:color w:val="212529"/>
          <w:sz w:val="23"/>
          <w:szCs w:val="23"/>
        </w:rPr>
        <w:instrText xml:space="preserve"> HYPERLINK "https://www.legifrance.gouv.fr/codes/article_lc/LEGIARTI000042913417" \t "_blank" </w:instrText>
      </w:r>
      <w:r w:rsidRPr="00F87F8A">
        <w:rPr>
          <w:rFonts w:ascii="Arial" w:eastAsia="Times New Roman" w:hAnsi="Arial" w:cs="Arial"/>
          <w:color w:val="212529"/>
          <w:sz w:val="23"/>
          <w:szCs w:val="23"/>
        </w:rPr>
        <w:fldChar w:fldCharType="separate"/>
      </w:r>
      <w:r w:rsidRPr="00F87F8A">
        <w:rPr>
          <w:rFonts w:ascii="Arial" w:eastAsia="Times New Roman" w:hAnsi="Arial" w:cs="Arial"/>
          <w:color w:val="F6B200"/>
          <w:sz w:val="23"/>
          <w:szCs w:val="23"/>
          <w:u w:val="single"/>
        </w:rPr>
        <w:t>Voir l'article L 2333-30 du CGCT</w:t>
      </w:r>
      <w:r w:rsidRPr="00F87F8A">
        <w:rPr>
          <w:rFonts w:ascii="Arial" w:eastAsia="Times New Roman" w:hAnsi="Arial" w:cs="Arial"/>
          <w:color w:val="212529"/>
          <w:sz w:val="23"/>
          <w:szCs w:val="23"/>
        </w:rPr>
        <w:fldChar w:fldCharType="end"/>
      </w:r>
    </w:p>
    <w:p w14:paraId="1C71A4FD" w14:textId="77777777" w:rsidR="00F87F8A" w:rsidRPr="00F87F8A" w:rsidRDefault="00F87F8A" w:rsidP="00F87F8A">
      <w:pPr>
        <w:shd w:val="clear" w:color="auto" w:fill="EEEEEE"/>
        <w:spacing w:after="100" w:afterAutospacing="1" w:line="240" w:lineRule="auto"/>
        <w:jc w:val="both"/>
        <w:rPr>
          <w:rFonts w:ascii="Arial" w:eastAsia="Times New Roman" w:hAnsi="Arial" w:cs="Arial"/>
          <w:color w:val="212529"/>
          <w:sz w:val="23"/>
          <w:szCs w:val="23"/>
        </w:rPr>
      </w:pPr>
      <w:r w:rsidRPr="00F87F8A">
        <w:rPr>
          <w:rFonts w:ascii="Arial" w:eastAsia="Times New Roman" w:hAnsi="Arial" w:cs="Arial"/>
          <w:color w:val="212529"/>
          <w:sz w:val="23"/>
          <w:szCs w:val="23"/>
        </w:rPr>
        <w:t>Dans le tableau des tarifs applicables, les tarifs fixés par délibération sont majorés en application des éventuelles taxes additionnelles applicables.</w:t>
      </w:r>
    </w:p>
    <w:p w14:paraId="4ED33C8D" w14:textId="77777777" w:rsidR="00F87F8A" w:rsidRPr="00F87F8A" w:rsidRDefault="00F87F8A" w:rsidP="00F87F8A">
      <w:pPr>
        <w:numPr>
          <w:ilvl w:val="0"/>
          <w:numId w:val="2"/>
        </w:numPr>
        <w:shd w:val="clear" w:color="auto" w:fill="EEEEEE"/>
        <w:spacing w:before="100" w:beforeAutospacing="1" w:after="100" w:afterAutospacing="1" w:line="240" w:lineRule="auto"/>
        <w:ind w:left="495"/>
        <w:jc w:val="both"/>
        <w:rPr>
          <w:rFonts w:ascii="Arial" w:eastAsia="Times New Roman" w:hAnsi="Arial" w:cs="Arial"/>
          <w:color w:val="212529"/>
          <w:sz w:val="23"/>
          <w:szCs w:val="23"/>
        </w:rPr>
      </w:pPr>
      <w:r w:rsidRPr="00F87F8A">
        <w:rPr>
          <w:rFonts w:ascii="Arial" w:eastAsia="Times New Roman" w:hAnsi="Arial" w:cs="Arial"/>
          <w:color w:val="212529"/>
          <w:sz w:val="23"/>
          <w:szCs w:val="23"/>
        </w:rPr>
        <w:t>Majoration de 10 % au titre de la taxe additionnelle instituée au bénéfice du conseil départemental du Var.</w:t>
      </w:r>
    </w:p>
    <w:p w14:paraId="18C6C15F" w14:textId="77777777" w:rsidR="00F87F8A" w:rsidRPr="00F87F8A" w:rsidRDefault="00F87F8A" w:rsidP="00F87F8A">
      <w:pPr>
        <w:numPr>
          <w:ilvl w:val="0"/>
          <w:numId w:val="2"/>
        </w:numPr>
        <w:shd w:val="clear" w:color="auto" w:fill="EEEEEE"/>
        <w:spacing w:before="100" w:beforeAutospacing="1" w:after="100" w:afterAutospacing="1" w:line="240" w:lineRule="auto"/>
        <w:ind w:left="495"/>
        <w:rPr>
          <w:rFonts w:ascii="Arial" w:eastAsia="Times New Roman" w:hAnsi="Arial" w:cs="Arial"/>
          <w:color w:val="212529"/>
          <w:sz w:val="23"/>
          <w:szCs w:val="23"/>
          <w:highlight w:val="yellow"/>
        </w:rPr>
      </w:pPr>
      <w:r w:rsidRPr="00F87F8A">
        <w:rPr>
          <w:rFonts w:ascii="Arial" w:eastAsia="Times New Roman" w:hAnsi="Arial" w:cs="Arial"/>
          <w:color w:val="212529"/>
          <w:sz w:val="23"/>
          <w:szCs w:val="23"/>
          <w:highlight w:val="yellow"/>
        </w:rPr>
        <w:t>Majoration de 34 % au titre de la taxe additionnelle régionale au bénéfice de la Société de la Ligne Nouvelle Provence Côte d’Azur instituée à compter du 01/01/2023.</w:t>
      </w:r>
    </w:p>
    <w:p w14:paraId="1BF50C51" w14:textId="77777777" w:rsidR="00F87F8A" w:rsidRPr="00F87F8A" w:rsidRDefault="00F87F8A" w:rsidP="00F87F8A">
      <w:pPr>
        <w:shd w:val="clear" w:color="auto" w:fill="EEEEEE"/>
        <w:spacing w:after="100" w:afterAutospacing="1" w:line="240" w:lineRule="auto"/>
        <w:jc w:val="both"/>
        <w:rPr>
          <w:rFonts w:ascii="Arial" w:eastAsia="Times New Roman" w:hAnsi="Arial" w:cs="Arial"/>
          <w:color w:val="212529"/>
          <w:sz w:val="23"/>
          <w:szCs w:val="23"/>
        </w:rPr>
      </w:pPr>
      <w:r w:rsidRPr="00F87F8A">
        <w:rPr>
          <w:rFonts w:ascii="Arial" w:eastAsia="Times New Roman" w:hAnsi="Arial" w:cs="Arial"/>
          <w:b/>
          <w:bCs/>
          <w:color w:val="F6B200"/>
          <w:sz w:val="23"/>
          <w:szCs w:val="23"/>
        </w:rPr>
        <w:t>TARIFS PROPORTIONNELS :</w:t>
      </w:r>
      <w:r w:rsidRPr="00F87F8A">
        <w:rPr>
          <w:rFonts w:ascii="Arial" w:eastAsia="Times New Roman" w:hAnsi="Arial" w:cs="Arial"/>
          <w:color w:val="212529"/>
          <w:sz w:val="23"/>
          <w:szCs w:val="23"/>
        </w:rPr>
        <w:t> </w:t>
      </w:r>
      <w:r w:rsidRPr="00F87F8A">
        <w:rPr>
          <w:rFonts w:ascii="Arial" w:eastAsia="Times New Roman" w:hAnsi="Arial" w:cs="Arial"/>
          <w:b/>
          <w:bCs/>
          <w:color w:val="212529"/>
          <w:sz w:val="23"/>
          <w:szCs w:val="23"/>
        </w:rPr>
        <w:t>La taxe de séjour est collectée sur la base d'un tarif variable (%) :</w:t>
      </w:r>
    </w:p>
    <w:p w14:paraId="22E638BF" w14:textId="77777777" w:rsidR="00F87F8A" w:rsidRPr="00F87F8A" w:rsidRDefault="00F87F8A" w:rsidP="00F87F8A">
      <w:pPr>
        <w:shd w:val="clear" w:color="auto" w:fill="EEEEEE"/>
        <w:spacing w:after="100" w:afterAutospacing="1" w:line="240" w:lineRule="auto"/>
        <w:jc w:val="both"/>
        <w:rPr>
          <w:rFonts w:ascii="Arial" w:eastAsia="Times New Roman" w:hAnsi="Arial" w:cs="Arial"/>
          <w:color w:val="212529"/>
          <w:sz w:val="23"/>
          <w:szCs w:val="23"/>
        </w:rPr>
      </w:pPr>
      <w:r w:rsidRPr="00F87F8A">
        <w:rPr>
          <w:rFonts w:ascii="Arial" w:eastAsia="Times New Roman" w:hAnsi="Arial" w:cs="Arial"/>
          <w:color w:val="212529"/>
          <w:sz w:val="23"/>
          <w:szCs w:val="23"/>
        </w:rPr>
        <w:t>Le montant de taxe de séjour à percevoir auprès des occupants de l'hébergement qui sont assujettis et non exonérés correspond au produit du nombre de nuitées effectuées par ce tarif variable qui est fonction :</w:t>
      </w:r>
    </w:p>
    <w:p w14:paraId="751BCF80" w14:textId="77777777" w:rsidR="00F87F8A" w:rsidRPr="00F87F8A" w:rsidRDefault="00F87F8A" w:rsidP="00F87F8A">
      <w:pPr>
        <w:numPr>
          <w:ilvl w:val="0"/>
          <w:numId w:val="3"/>
        </w:numPr>
        <w:shd w:val="clear" w:color="auto" w:fill="EEEEEE"/>
        <w:spacing w:before="100" w:beforeAutospacing="1" w:after="100" w:afterAutospacing="1" w:line="240" w:lineRule="auto"/>
        <w:ind w:left="495"/>
        <w:rPr>
          <w:rFonts w:ascii="Arial" w:eastAsia="Times New Roman" w:hAnsi="Arial" w:cs="Arial"/>
          <w:color w:val="212529"/>
          <w:sz w:val="23"/>
          <w:szCs w:val="23"/>
        </w:rPr>
      </w:pPr>
      <w:proofErr w:type="gramStart"/>
      <w:r w:rsidRPr="00F87F8A">
        <w:rPr>
          <w:rFonts w:ascii="Arial" w:eastAsia="Times New Roman" w:hAnsi="Arial" w:cs="Arial"/>
          <w:color w:val="212529"/>
          <w:sz w:val="23"/>
          <w:szCs w:val="23"/>
        </w:rPr>
        <w:t>du</w:t>
      </w:r>
      <w:proofErr w:type="gramEnd"/>
      <w:r w:rsidRPr="00F87F8A">
        <w:rPr>
          <w:rFonts w:ascii="Arial" w:eastAsia="Times New Roman" w:hAnsi="Arial" w:cs="Arial"/>
          <w:color w:val="212529"/>
          <w:sz w:val="23"/>
          <w:szCs w:val="23"/>
        </w:rPr>
        <w:t xml:space="preserve"> prix de l'hébergement,</w:t>
      </w:r>
    </w:p>
    <w:p w14:paraId="46F452B7" w14:textId="77777777" w:rsidR="00F87F8A" w:rsidRPr="00F87F8A" w:rsidRDefault="00F87F8A" w:rsidP="00F87F8A">
      <w:pPr>
        <w:numPr>
          <w:ilvl w:val="0"/>
          <w:numId w:val="3"/>
        </w:numPr>
        <w:shd w:val="clear" w:color="auto" w:fill="EEEEEE"/>
        <w:spacing w:before="100" w:beforeAutospacing="1" w:after="100" w:afterAutospacing="1" w:line="240" w:lineRule="auto"/>
        <w:ind w:left="495"/>
        <w:rPr>
          <w:rFonts w:ascii="Arial" w:eastAsia="Times New Roman" w:hAnsi="Arial" w:cs="Arial"/>
          <w:color w:val="212529"/>
          <w:sz w:val="23"/>
          <w:szCs w:val="23"/>
        </w:rPr>
      </w:pPr>
      <w:proofErr w:type="gramStart"/>
      <w:r w:rsidRPr="00F87F8A">
        <w:rPr>
          <w:rFonts w:ascii="Arial" w:eastAsia="Times New Roman" w:hAnsi="Arial" w:cs="Arial"/>
          <w:color w:val="212529"/>
          <w:sz w:val="23"/>
          <w:szCs w:val="23"/>
        </w:rPr>
        <w:t>du</w:t>
      </w:r>
      <w:proofErr w:type="gramEnd"/>
      <w:r w:rsidRPr="00F87F8A">
        <w:rPr>
          <w:rFonts w:ascii="Arial" w:eastAsia="Times New Roman" w:hAnsi="Arial" w:cs="Arial"/>
          <w:color w:val="212529"/>
          <w:sz w:val="23"/>
          <w:szCs w:val="23"/>
        </w:rPr>
        <w:t xml:space="preserve"> nombre d'occupants,</w:t>
      </w:r>
    </w:p>
    <w:p w14:paraId="26162201" w14:textId="77777777" w:rsidR="00F87F8A" w:rsidRPr="00F87F8A" w:rsidRDefault="00F87F8A" w:rsidP="00F87F8A">
      <w:pPr>
        <w:numPr>
          <w:ilvl w:val="0"/>
          <w:numId w:val="3"/>
        </w:numPr>
        <w:shd w:val="clear" w:color="auto" w:fill="EEEEEE"/>
        <w:spacing w:before="100" w:beforeAutospacing="1" w:after="100" w:afterAutospacing="1" w:line="240" w:lineRule="auto"/>
        <w:ind w:left="495"/>
        <w:rPr>
          <w:rFonts w:ascii="Arial" w:eastAsia="Times New Roman" w:hAnsi="Arial" w:cs="Arial"/>
          <w:color w:val="212529"/>
          <w:sz w:val="23"/>
          <w:szCs w:val="23"/>
        </w:rPr>
      </w:pPr>
      <w:proofErr w:type="gramStart"/>
      <w:r w:rsidRPr="00F87F8A">
        <w:rPr>
          <w:rFonts w:ascii="Arial" w:eastAsia="Times New Roman" w:hAnsi="Arial" w:cs="Arial"/>
          <w:color w:val="212529"/>
          <w:sz w:val="23"/>
          <w:szCs w:val="23"/>
        </w:rPr>
        <w:t>du</w:t>
      </w:r>
      <w:proofErr w:type="gramEnd"/>
      <w:r w:rsidRPr="00F87F8A">
        <w:rPr>
          <w:rFonts w:ascii="Arial" w:eastAsia="Times New Roman" w:hAnsi="Arial" w:cs="Arial"/>
          <w:color w:val="212529"/>
          <w:sz w:val="23"/>
          <w:szCs w:val="23"/>
        </w:rPr>
        <w:t xml:space="preserve"> pourcentage fixé par délibération.</w:t>
      </w:r>
    </w:p>
    <w:p w14:paraId="3A234CF1" w14:textId="77777777" w:rsidR="00F87F8A" w:rsidRPr="00F87F8A" w:rsidRDefault="00F87F8A" w:rsidP="00F87F8A">
      <w:pPr>
        <w:numPr>
          <w:ilvl w:val="0"/>
          <w:numId w:val="4"/>
        </w:numPr>
        <w:shd w:val="clear" w:color="auto" w:fill="EEEEEE"/>
        <w:spacing w:before="100" w:beforeAutospacing="1" w:after="100" w:afterAutospacing="1" w:line="240" w:lineRule="auto"/>
        <w:ind w:left="495"/>
        <w:rPr>
          <w:rFonts w:ascii="Arial" w:eastAsia="Times New Roman" w:hAnsi="Arial" w:cs="Arial"/>
          <w:color w:val="212529"/>
          <w:sz w:val="23"/>
          <w:szCs w:val="23"/>
        </w:rPr>
      </w:pPr>
      <w:r w:rsidRPr="00F87F8A">
        <w:rPr>
          <w:rFonts w:ascii="Arial" w:eastAsia="Times New Roman" w:hAnsi="Arial" w:cs="Arial"/>
          <w:color w:val="212529"/>
          <w:sz w:val="23"/>
          <w:szCs w:val="23"/>
        </w:rPr>
        <w:t>Pour les hôtels, les meublés et les résidences de tourisme ainsi que les villages de vacances sans classement ou en attente de classement ainsi que pour les hébergements en attente de classement et les hébergements sans classement qui ne relèvent pas des natures d'hébergement mentionnées aux 1° à 9° de l'</w:t>
      </w:r>
      <w:hyperlink r:id="rId5" w:tgtFrame="_blank" w:history="1">
        <w:r w:rsidRPr="00F87F8A">
          <w:rPr>
            <w:rFonts w:ascii="Arial" w:eastAsia="Times New Roman" w:hAnsi="Arial" w:cs="Arial"/>
            <w:color w:val="F6B200"/>
            <w:sz w:val="23"/>
            <w:szCs w:val="23"/>
            <w:u w:val="single"/>
          </w:rPr>
          <w:t>article R. 2333-44 du CGCT</w:t>
        </w:r>
      </w:hyperlink>
      <w:r w:rsidRPr="00F87F8A">
        <w:rPr>
          <w:rFonts w:ascii="Arial" w:eastAsia="Times New Roman" w:hAnsi="Arial" w:cs="Arial"/>
          <w:color w:val="212529"/>
          <w:sz w:val="23"/>
          <w:szCs w:val="23"/>
        </w:rPr>
        <w:t> et qui ne sont pas des auberges collectives.</w:t>
      </w:r>
    </w:p>
    <w:p w14:paraId="774B8573" w14:textId="77777777" w:rsidR="00F87F8A" w:rsidRPr="00F87F8A" w:rsidRDefault="00F87F8A" w:rsidP="00F87F8A">
      <w:pPr>
        <w:shd w:val="clear" w:color="auto" w:fill="EEEEEE"/>
        <w:spacing w:after="100" w:afterAutospacing="1" w:line="240" w:lineRule="auto"/>
        <w:rPr>
          <w:rFonts w:ascii="Arial" w:eastAsia="Times New Roman" w:hAnsi="Arial" w:cs="Arial"/>
          <w:color w:val="212529"/>
          <w:sz w:val="23"/>
          <w:szCs w:val="23"/>
        </w:rPr>
      </w:pPr>
      <w:r w:rsidRPr="00F87F8A">
        <w:rPr>
          <w:rFonts w:ascii="Arial" w:eastAsia="Times New Roman" w:hAnsi="Arial" w:cs="Arial"/>
          <w:color w:val="212529"/>
          <w:sz w:val="23"/>
          <w:szCs w:val="23"/>
        </w:rPr>
        <w:t xml:space="preserve">Le tarif variable correspond à 5,00 % plafonné à 3,20 € + taxes additionnelles du coût HT par personne de la </w:t>
      </w:r>
      <w:proofErr w:type="gramStart"/>
      <w:r w:rsidRPr="00F87F8A">
        <w:rPr>
          <w:rFonts w:ascii="Arial" w:eastAsia="Times New Roman" w:hAnsi="Arial" w:cs="Arial"/>
          <w:color w:val="212529"/>
          <w:sz w:val="23"/>
          <w:szCs w:val="23"/>
        </w:rPr>
        <w:t>nuitée</w:t>
      </w:r>
      <w:r w:rsidRPr="00F87F8A">
        <w:rPr>
          <w:rFonts w:ascii="Arial" w:eastAsia="Times New Roman" w:hAnsi="Arial" w:cs="Arial"/>
          <w:color w:val="212529"/>
          <w:sz w:val="17"/>
          <w:szCs w:val="17"/>
          <w:vertAlign w:val="superscript"/>
        </w:rPr>
        <w:t>(</w:t>
      </w:r>
      <w:proofErr w:type="gramEnd"/>
      <w:r w:rsidRPr="00F87F8A">
        <w:rPr>
          <w:rFonts w:ascii="Arial" w:eastAsia="Times New Roman" w:hAnsi="Arial" w:cs="Arial"/>
          <w:color w:val="212529"/>
          <w:sz w:val="17"/>
          <w:szCs w:val="17"/>
          <w:vertAlign w:val="superscript"/>
        </w:rPr>
        <w:t>1)</w:t>
      </w:r>
      <w:r w:rsidRPr="00F87F8A">
        <w:rPr>
          <w:rFonts w:ascii="Arial" w:eastAsia="Times New Roman" w:hAnsi="Arial" w:cs="Arial"/>
          <w:color w:val="212529"/>
          <w:sz w:val="23"/>
          <w:szCs w:val="23"/>
        </w:rPr>
        <w:t>.</w:t>
      </w:r>
    </w:p>
    <w:p w14:paraId="274B8D0E" w14:textId="77777777" w:rsidR="00F87F8A" w:rsidRPr="00F87F8A" w:rsidRDefault="00F87F8A" w:rsidP="00F87F8A">
      <w:pPr>
        <w:shd w:val="clear" w:color="auto" w:fill="EEEEEE"/>
        <w:spacing w:after="100" w:afterAutospacing="1" w:line="240" w:lineRule="auto"/>
        <w:jc w:val="both"/>
        <w:rPr>
          <w:rFonts w:ascii="Arial" w:eastAsia="Times New Roman" w:hAnsi="Arial" w:cs="Arial"/>
          <w:color w:val="212529"/>
          <w:sz w:val="23"/>
          <w:szCs w:val="23"/>
        </w:rPr>
      </w:pPr>
      <w:r w:rsidRPr="00F87F8A">
        <w:rPr>
          <w:rFonts w:ascii="Arial" w:eastAsia="Times New Roman" w:hAnsi="Arial" w:cs="Arial"/>
          <w:color w:val="212529"/>
          <w:sz w:val="23"/>
          <w:szCs w:val="23"/>
        </w:rPr>
        <w:t>Dans la calculette qui vous permet de déterminer le tarif variable, le tarif variable est automatiquement majoré des éventuelles taxes additionnelles applicables.</w:t>
      </w:r>
    </w:p>
    <w:p w14:paraId="186F2ABB" w14:textId="77777777" w:rsidR="00F87F8A" w:rsidRPr="00F87F8A" w:rsidRDefault="00F87F8A" w:rsidP="00F87F8A">
      <w:pPr>
        <w:numPr>
          <w:ilvl w:val="0"/>
          <w:numId w:val="5"/>
        </w:numPr>
        <w:shd w:val="clear" w:color="auto" w:fill="EEEEEE"/>
        <w:spacing w:before="100" w:beforeAutospacing="1" w:after="100" w:afterAutospacing="1" w:line="240" w:lineRule="auto"/>
        <w:ind w:left="495"/>
        <w:rPr>
          <w:rFonts w:ascii="Arial" w:eastAsia="Times New Roman" w:hAnsi="Arial" w:cs="Arial"/>
          <w:color w:val="212529"/>
          <w:sz w:val="23"/>
          <w:szCs w:val="23"/>
        </w:rPr>
      </w:pPr>
      <w:r w:rsidRPr="00F87F8A">
        <w:rPr>
          <w:rFonts w:ascii="Arial" w:eastAsia="Times New Roman" w:hAnsi="Arial" w:cs="Arial"/>
          <w:color w:val="212529"/>
          <w:sz w:val="23"/>
          <w:szCs w:val="23"/>
        </w:rPr>
        <w:t>Majoration de 10 % au titre de la taxe additionnelle instituée au bénéfice du conseil départemental du Var.</w:t>
      </w:r>
    </w:p>
    <w:p w14:paraId="7BC6F6D6" w14:textId="77777777" w:rsidR="00F87F8A" w:rsidRPr="00F87F8A" w:rsidRDefault="00F87F8A" w:rsidP="00F87F8A">
      <w:pPr>
        <w:numPr>
          <w:ilvl w:val="0"/>
          <w:numId w:val="5"/>
        </w:numPr>
        <w:shd w:val="clear" w:color="auto" w:fill="EEEEEE"/>
        <w:spacing w:before="100" w:beforeAutospacing="1" w:after="100" w:afterAutospacing="1" w:line="240" w:lineRule="auto"/>
        <w:ind w:left="495"/>
        <w:rPr>
          <w:rFonts w:ascii="Arial" w:eastAsia="Times New Roman" w:hAnsi="Arial" w:cs="Arial"/>
          <w:color w:val="212529"/>
          <w:sz w:val="23"/>
          <w:szCs w:val="23"/>
          <w:highlight w:val="yellow"/>
        </w:rPr>
      </w:pPr>
      <w:r w:rsidRPr="00F87F8A">
        <w:rPr>
          <w:rFonts w:ascii="Arial" w:eastAsia="Times New Roman" w:hAnsi="Arial" w:cs="Arial"/>
          <w:color w:val="212529"/>
          <w:sz w:val="23"/>
          <w:szCs w:val="23"/>
          <w:highlight w:val="yellow"/>
        </w:rPr>
        <w:t>Majoration de 34 % au titre de la taxe additionnelle régionale au bénéfice de la Société de la Ligne Nouvelle Provence Côte d’Azur instituée à compter du 01/01/2023.</w:t>
      </w:r>
    </w:p>
    <w:p w14:paraId="1AF864B5" w14:textId="77777777" w:rsidR="00F87F8A" w:rsidRPr="00F87F8A" w:rsidRDefault="00F87F8A" w:rsidP="00F87F8A">
      <w:pPr>
        <w:shd w:val="clear" w:color="auto" w:fill="EEEEEE"/>
        <w:spacing w:after="100" w:afterAutospacing="1" w:line="240" w:lineRule="auto"/>
        <w:jc w:val="both"/>
        <w:rPr>
          <w:rFonts w:ascii="Arial" w:eastAsia="Times New Roman" w:hAnsi="Arial" w:cs="Arial"/>
          <w:color w:val="212529"/>
          <w:sz w:val="23"/>
          <w:szCs w:val="23"/>
        </w:rPr>
      </w:pPr>
      <w:r w:rsidRPr="00F87F8A">
        <w:rPr>
          <w:rFonts w:ascii="Arial" w:eastAsia="Times New Roman" w:hAnsi="Arial" w:cs="Arial"/>
          <w:i/>
          <w:iCs/>
          <w:color w:val="212529"/>
          <w:sz w:val="23"/>
          <w:szCs w:val="23"/>
        </w:rPr>
        <w:t>(1) Coût HT par personne de la nuitée = Prix de l’hébergement HT pour le séjour / Nombre de nuits du séjour / Nombre d’occupants</w:t>
      </w:r>
    </w:p>
    <w:p w14:paraId="378CB478" w14:textId="77777777" w:rsidR="0078532F" w:rsidRDefault="0078532F"/>
    <w:sectPr w:rsidR="0078532F" w:rsidSect="00F87F8A">
      <w:pgSz w:w="11906" w:h="16838"/>
      <w:pgMar w:top="0" w:right="1417" w:bottom="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25071"/>
    <w:multiLevelType w:val="multilevel"/>
    <w:tmpl w:val="9368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CA266D"/>
    <w:multiLevelType w:val="multilevel"/>
    <w:tmpl w:val="9F60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164813"/>
    <w:multiLevelType w:val="multilevel"/>
    <w:tmpl w:val="9E3E4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322749"/>
    <w:multiLevelType w:val="multilevel"/>
    <w:tmpl w:val="9A100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741FAD"/>
    <w:multiLevelType w:val="multilevel"/>
    <w:tmpl w:val="D8BC4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275800">
    <w:abstractNumId w:val="0"/>
  </w:num>
  <w:num w:numId="2" w16cid:durableId="276914815">
    <w:abstractNumId w:val="3"/>
  </w:num>
  <w:num w:numId="3" w16cid:durableId="1791120385">
    <w:abstractNumId w:val="1"/>
  </w:num>
  <w:num w:numId="4" w16cid:durableId="1975599231">
    <w:abstractNumId w:val="2"/>
  </w:num>
  <w:num w:numId="5" w16cid:durableId="4087726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F8A"/>
    <w:rsid w:val="0078532F"/>
    <w:rsid w:val="00F87F8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C43F4"/>
  <w15:chartTrackingRefBased/>
  <w15:docId w15:val="{A72711B8-2D1B-46C3-911B-27B6F59F2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2">
    <w:name w:val="heading 2"/>
    <w:basedOn w:val="Normal"/>
    <w:link w:val="Titre2Car"/>
    <w:uiPriority w:val="9"/>
    <w:qFormat/>
    <w:rsid w:val="00F87F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F87F8A"/>
    <w:rPr>
      <w:rFonts w:ascii="Times New Roman" w:eastAsia="Times New Roman" w:hAnsi="Times New Roman" w:cs="Times New Roman"/>
      <w:b/>
      <w:bCs/>
      <w:sz w:val="36"/>
      <w:szCs w:val="36"/>
    </w:rPr>
  </w:style>
  <w:style w:type="paragraph" w:customStyle="1" w:styleId="text-justify">
    <w:name w:val="text-justify"/>
    <w:basedOn w:val="Normal"/>
    <w:rsid w:val="00F87F8A"/>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F87F8A"/>
    <w:rPr>
      <w:b/>
      <w:bCs/>
    </w:rPr>
  </w:style>
  <w:style w:type="paragraph" w:customStyle="1" w:styleId="mt-1">
    <w:name w:val="mt-1"/>
    <w:basedOn w:val="Normal"/>
    <w:rsid w:val="00F87F8A"/>
    <w:pPr>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semiHidden/>
    <w:unhideWhenUsed/>
    <w:rsid w:val="00F87F8A"/>
    <w:rPr>
      <w:color w:val="0000FF"/>
      <w:u w:val="single"/>
    </w:rPr>
  </w:style>
  <w:style w:type="paragraph" w:styleId="NormalWeb">
    <w:name w:val="Normal (Web)"/>
    <w:basedOn w:val="Normal"/>
    <w:uiPriority w:val="99"/>
    <w:semiHidden/>
    <w:unhideWhenUsed/>
    <w:rsid w:val="00F87F8A"/>
    <w:pPr>
      <w:spacing w:before="100" w:beforeAutospacing="1" w:after="100" w:afterAutospacing="1" w:line="240" w:lineRule="auto"/>
    </w:pPr>
    <w:rPr>
      <w:rFonts w:ascii="Times New Roman" w:eastAsia="Times New Roman" w:hAnsi="Times New Roman" w:cs="Times New Roman"/>
      <w:sz w:val="24"/>
      <w:szCs w:val="24"/>
    </w:rPr>
  </w:style>
  <w:style w:type="character" w:styleId="Accentuation">
    <w:name w:val="Emphasis"/>
    <w:basedOn w:val="Policepardfaut"/>
    <w:uiPriority w:val="20"/>
    <w:qFormat/>
    <w:rsid w:val="00F87F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741002">
      <w:bodyDiv w:val="1"/>
      <w:marLeft w:val="0"/>
      <w:marRight w:val="0"/>
      <w:marTop w:val="0"/>
      <w:marBottom w:val="0"/>
      <w:divBdr>
        <w:top w:val="none" w:sz="0" w:space="0" w:color="auto"/>
        <w:left w:val="none" w:sz="0" w:space="0" w:color="auto"/>
        <w:bottom w:val="none" w:sz="0" w:space="0" w:color="auto"/>
        <w:right w:val="none" w:sz="0" w:space="0" w:color="auto"/>
      </w:divBdr>
      <w:divsChild>
        <w:div w:id="1215702880">
          <w:marLeft w:val="-225"/>
          <w:marRight w:val="-225"/>
          <w:marTop w:val="0"/>
          <w:marBottom w:val="0"/>
          <w:divBdr>
            <w:top w:val="none" w:sz="0" w:space="0" w:color="auto"/>
            <w:left w:val="none" w:sz="0" w:space="0" w:color="auto"/>
            <w:bottom w:val="none" w:sz="0" w:space="0" w:color="auto"/>
            <w:right w:val="none" w:sz="0" w:space="0" w:color="auto"/>
          </w:divBdr>
          <w:divsChild>
            <w:div w:id="1584415714">
              <w:marLeft w:val="0"/>
              <w:marRight w:val="0"/>
              <w:marTop w:val="0"/>
              <w:marBottom w:val="0"/>
              <w:divBdr>
                <w:top w:val="none" w:sz="0" w:space="0" w:color="auto"/>
                <w:left w:val="none" w:sz="0" w:space="0" w:color="auto"/>
                <w:bottom w:val="none" w:sz="0" w:space="0" w:color="auto"/>
                <w:right w:val="none" w:sz="0" w:space="0" w:color="auto"/>
              </w:divBdr>
            </w:div>
          </w:divsChild>
        </w:div>
        <w:div w:id="152373670">
          <w:marLeft w:val="-225"/>
          <w:marRight w:val="-225"/>
          <w:marTop w:val="0"/>
          <w:marBottom w:val="0"/>
          <w:divBdr>
            <w:top w:val="none" w:sz="0" w:space="0" w:color="auto"/>
            <w:left w:val="none" w:sz="0" w:space="0" w:color="auto"/>
            <w:bottom w:val="none" w:sz="0" w:space="0" w:color="auto"/>
            <w:right w:val="none" w:sz="0" w:space="0" w:color="auto"/>
          </w:divBdr>
          <w:divsChild>
            <w:div w:id="794518358">
              <w:marLeft w:val="0"/>
              <w:marRight w:val="0"/>
              <w:marTop w:val="0"/>
              <w:marBottom w:val="0"/>
              <w:divBdr>
                <w:top w:val="none" w:sz="0" w:space="0" w:color="auto"/>
                <w:left w:val="none" w:sz="0" w:space="0" w:color="auto"/>
                <w:bottom w:val="none" w:sz="0" w:space="0" w:color="auto"/>
                <w:right w:val="none" w:sz="0" w:space="0" w:color="auto"/>
              </w:divBdr>
            </w:div>
          </w:divsChild>
        </w:div>
        <w:div w:id="598298792">
          <w:marLeft w:val="-225"/>
          <w:marRight w:val="-225"/>
          <w:marTop w:val="0"/>
          <w:marBottom w:val="0"/>
          <w:divBdr>
            <w:top w:val="none" w:sz="0" w:space="0" w:color="auto"/>
            <w:left w:val="none" w:sz="0" w:space="0" w:color="auto"/>
            <w:bottom w:val="none" w:sz="0" w:space="0" w:color="auto"/>
            <w:right w:val="none" w:sz="0" w:space="0" w:color="auto"/>
          </w:divBdr>
          <w:divsChild>
            <w:div w:id="131506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egifrance.gouv.fr/affichCodeArticle.do;jsessionid=BE4DBDC27F3DEAEE1E5A140A651F532C.tplgfr25s_3?idArticle=LEGIARTI000039240802&amp;cidTexte=LEGITEXT000006070633&amp;categorieLien=id&amp;dateTexte="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470</Words>
  <Characters>2589</Characters>
  <Application>Microsoft Office Word</Application>
  <DocSecurity>0</DocSecurity>
  <Lines>21</Lines>
  <Paragraphs>6</Paragraphs>
  <ScaleCrop>false</ScaleCrop>
  <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Comptabilite - Mairie de Plan de la Tour</dc:creator>
  <cp:keywords/>
  <dc:description/>
  <cp:lastModifiedBy>Comptabilite - Mairie de Plan de la Tour</cp:lastModifiedBy>
  <cp:revision>1</cp:revision>
  <dcterms:created xsi:type="dcterms:W3CDTF">2023-01-09T13:54:00Z</dcterms:created>
  <dcterms:modified xsi:type="dcterms:W3CDTF">2023-01-09T13:58:00Z</dcterms:modified>
</cp:coreProperties>
</file>